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color w:val="ff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8"/>
          <w:szCs w:val="28"/>
          <w:vertAlign w:val="baseline"/>
          <w:rtl w:val="0"/>
        </w:rPr>
        <w:t xml:space="preserve">TOOL: Checklist: facilitator self-evaluation 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Facilitators can use the questions below to assess their work with adolescents.  Adapt or add questions as appropriate. </w:t>
      </w: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1900"/>
        <w:gridCol w:w="1901"/>
        <w:gridCol w:w="1901"/>
        <w:tblGridChange w:id="0">
          <w:tblGrid>
            <w:gridCol w:w="3510"/>
            <w:gridCol w:w="1900"/>
            <w:gridCol w:w="1901"/>
            <w:gridCol w:w="1901"/>
          </w:tblGrid>
        </w:tblGridChange>
      </w:tblGrid>
      <w:tr>
        <w:trPr>
          <w:cantSplit w:val="0"/>
          <w:trHeight w:val="407" w:hRule="atLeast"/>
          <w:tblHeader w:val="0"/>
        </w:trPr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Question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Somewhat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jc w:val="center"/>
              <w:rPr>
                <w:rFonts w:ascii="Calibri" w:cs="Calibri" w:eastAsia="Calibri" w:hAnsi="Calibri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Yes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understand the Ten Key Competencies and Ten Key Approaches, and how to use the activities, tools and supplies in the Adolescent Kit.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36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prepared for sessions and well informed about topics and activities.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arrive on time for my sessions.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keep attendance records.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support adolescents to manage, use and store supplies and materials.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can call participants by name.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don’t favour participants I already know personally over those I don’t.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take time to listen to the adolescents.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support everyone’s experiences and right to their own opinions.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don’t judge the adolescents, even if I don’t share their views.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aware that my cultural background shapes my values, beliefs and assumptions, just as participants’ cultural backgrounds shape theirs.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aware of gender roles and differences.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encourage all participants to share their experiences and to contribute to group learning.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support all adolescents to participate equally in activities and discussions.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provide adolescents with information about other programmes, services and support that they may benefit from or enjoy.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know how to read and interpret adolescents’ responses, verbal and nonverbal.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understand group dynamics and feel comfortable managing conflicts.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know how to stay in charge, without being overly controlling.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act in a professional, calm manner, even when I feel provoked.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comfortable adapting sessions to meet participants’ needs.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encourage adolescents to take on responsibilities, even if that means they perform them in a different way than I do.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understand that the topics addressed during sessions may have an emotional impact on adolescents.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empathetic and understanding about participants’ emotional reactions and know how to handle them.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know my limits as a facilitator and where to refer adolescents with problems I can’t handle on my own.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can recognise warning signs that adolescents may face risks to their health, protection, safety or wellbeing.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know how to follow reporting and referral procedures (including confidentiality guidelines), and how to connect adolescents to appropriate support and services.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My body language and facial expressions are respectful and friendly.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present one idea at a time and show relationships between ideas, summarizing when necessary.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frequently use examples, charts, and visual/audio aids to illustrate my points.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use humour and imagination to keep participants interested.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aware that I do not know all the answers and am open to learning from participants.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3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encourage sharing of participants’ knowledge and skills and don’t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seek to impress learners with my own knowledge.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5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7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challenge participants’ thinking in a supportive and affirmative way.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regularly encourage adolescents to review their group performance.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E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8F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vertAlign w:val="baseline"/>
                <w:rtl w:val="0"/>
              </w:rPr>
              <w:t xml:space="preserve">I am receptive to feedback, both informally and through formal evaluation.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1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tabs>
                <w:tab w:val="left" w:pos="600"/>
                <w:tab w:val="left" w:pos="2160"/>
                <w:tab w:val="left" w:pos="3900"/>
              </w:tabs>
              <w:spacing w:after="240" w:line="276" w:lineRule="auto"/>
              <w:rPr>
                <w:rFonts w:ascii="Calibri" w:cs="Calibri" w:eastAsia="Calibri" w:hAnsi="Calibri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color w:val="c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color w:val="c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color w:val="c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color w:val="c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tabs>
          <w:tab w:val="left" w:pos="600"/>
          <w:tab w:val="left" w:pos="2160"/>
          <w:tab w:val="left" w:pos="3900"/>
        </w:tabs>
        <w:spacing w:after="240" w:line="276" w:lineRule="auto"/>
        <w:rPr>
          <w:rFonts w:ascii="Calibri" w:cs="Calibri" w:eastAsia="Calibri" w:hAnsi="Calibri"/>
          <w:b w:val="0"/>
          <w:color w:val="c00000"/>
          <w:sz w:val="32"/>
          <w:szCs w:val="32"/>
          <w:u w:val="single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134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right" w:pos="8931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215868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215868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tabs>
        <w:tab w:val="left" w:pos="600"/>
        <w:tab w:val="left" w:pos="2160"/>
        <w:tab w:val="left" w:pos="3900"/>
      </w:tabs>
      <w:spacing w:before="120" w:lineRule="auto"/>
    </w:pPr>
    <w:rPr>
      <w:rFonts w:ascii="Arial" w:cs="Arial" w:eastAsia="Arial" w:hAnsi="Arial"/>
      <w:b w:val="1"/>
      <w:color w:val="800000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</w:pPr>
    <w:rPr>
      <w:rFonts w:ascii="Cambria" w:cs="Cambria" w:eastAsia="Cambria" w:hAnsi="Cambria"/>
      <w:b w:val="1"/>
      <w:i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pacing w:before="120" w:lineRule="auto"/>
      <w:ind w:left="2124" w:hanging="2124"/>
    </w:pPr>
    <w:rPr>
      <w:rFonts w:ascii="Arial" w:cs="Arial" w:eastAsia="Arial" w:hAnsi="Arial"/>
      <w:b w:val="1"/>
      <w:color w:val="800000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